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312 vom 12. Oktober 1992</w:t>
      </w:r>
    </w:p>
    <w:p>
      <w:r>
        <w:t>Bundesgericht (BGE), 1992-10-12, DE</w:t>
      </w:r>
    </w:p>
    <w:p>
      <w:r>
        <w:rPr>
          <w:b/>
        </w:rPr>
        <w:t xml:space="preserve">Quelle: </w:t>
      </w:r>
      <w:r>
        <w:t>https://mcp.opencaselaw.ch/entscheid/bge_120 IB 312</w:t>
      </w:r>
    </w:p>
    <w:p>
      <w:r>
        <w:t>FR: BGE 120 IB 312 du 12 octobre 1992</w:t>
      </w:r>
    </w:p>
    <w:p>
      <w:r>
        <w:t>IT: BGE 120 IB 312 del 12 ottobre 1992</w:t>
      </w:r>
    </w:p>
    <w:p>
      <w:pPr>
        <w:pStyle w:val="Heading2"/>
      </w:pPr>
      <w:r>
        <w:t>Regeste</w:t>
      </w:r>
    </w:p>
    <w:p>
      <w:r>
        <w:t>Regeste Art. 16 Abs. 3 lit. a, Art. 32 Abs. 1 SVG; schwere Gefährdung des Verkehrs, Nichtanpassen der Geschwindigkeit. Wer trotz starkem Regen auf der Autobahn mit einer Geschwindigkeit von ca. 120 km/h fährt und infolge Aquaplanings ins Schleudern gerät, gefährdet den Verkehr in schwerer Weise (E. 4c).</w:t>
      </w:r>
    </w:p>
    <w:p>
      <w:pPr>
        <w:pStyle w:val="Heading2"/>
      </w:pPr>
      <w:r>
        <w:t>Erwägungen</w:t>
      </w:r>
    </w:p>
    <w:p>
      <w:r>
        <w:rPr>
          <w:b/>
        </w:rPr>
        <w:t>E. 1</w:t>
      </w:r>
    </w:p>
    <w:p>
      <w:r>
        <w:t>a) Die Vorinstanz nahm an, der Beschwerdeführer habe die Herrschaft über sein Fahrzeug verloren und damit eine ernstliche Gefahr für die Sicherheit aller nachfolgenden Fahrzeuge geschaffen. Seine Fahrweise sei verantwortungslos und sein Verschulden schwer gewesen. Die allgemeine Höchstgeschwindigkeit für Fahrzeuge betrage auf Autobahnen nur unter günstigen Strassen-, Verkehrs- und Sichtverhältnissen 120 km/h. Zum Unfallzeitpunkt habe es stark geregnet und stellenweise habe auch Wasser auf der Fahrbahn gelegen. Der Beschwerdeführer habe daher nicht von günstigen Strassenverhältnissen ausgehen können. Bei Regen und hoher Geschwindigkeit sei die Gefahr von Aquaplaning latent vorhanden, so dass die Vorsichtspflicht gebiete, die Geschwindigkeit zu reduzieren. b) Der Beschwerdeführer macht geltend, die Vorinstanz habe ihr Ermessen verletzt. Ob beim Nichtanpassen der Geschwindigkeit an die gegebenen Verhältnisse der Verkehr in schwerer Weise gefährdet werde, hänge von der Würdigung der gesamten Umstände ab. Er sei mit seinem Fahrzeug auf einem völlig geraden, übersichtlichen, jedoch regennassen Autobahnteilstück mit einer bloss geschätzten Geschwindigkeit von ca. 120 km/h unterwegs gewesen. Die Verkehrsdichte sei zum kritischen Zeitpunkt bloss schwach gewesen. Geschätzte Geschwindigkeitsangaben seien bei der Würdigung des Fehlverhaltens mit Vorsicht zu geniessen. Die Annahme der Vorinstanz, er sei tatsächlich mit einem Tempo von 120 km/h gefahren, sei daher willkürlich. Es liesse sich lediglich sagen, dass er im Hinblick auf die örtlichen Verhältnisse etwas zu schnell gefahren sei. Ein grobes Verschulden liege darin jedoch nicht. Aquaplaning könne je nachdem schon bei Geschwindigkeiten unter 80 km/h oder auch erst weit über 100 km/h auftreten. Da vorliegend lediglich von einer nassen und nicht von einer überfluteten Fahrbahn die Rede sei, sei die Annahme eines schweren Verschuldens bzw. einer schweren Verkehrsgefährdung durch die Vorinstanz willkürlich. Es könne auch nicht gesagt werden, Aquaplaningfälle seien BGE 120 Ib 312 S. 314 regelmässig zu den schweren Fällen im Sinne von Art. 16 Abs. 3 SVG zu zählen. Die Vorinstanz sei zudem grundlos von der Würdigung des Sachverhalts durch den Strafrichter abgewichen, der den Vorfall als einfache Verkehrsregelverletzung gemäss Art. 90 Ziff. 1 SVG beurteilt habe. Selbst wenn man ein schweres Verschulden und eine schwere Gefährdung annehmen wollte, sei die von der Vorinstanz bestätigte dreimonatige Entzugsdauer des Führerausweises gleichwohl eine willkürliche Massnahme. Er sei seit dem 30. August 1990 im Besitze seines Führerausweises und weise einen bislang ungetrübten Leumund als Fahrzeugführer auf. Dieser müsse bei der Bemessung der Massnahmedauer berücksichtigt werden. Schliesslich sei er als Automechaniker in einem Kleinbetrieb auf die Möglichkeit, Motorfahrzeuge zu führen, angewiesen. Ein Führerausweisentzug von mehreren Monaten bewirke mit grösster Wahrscheinlichkeit die Auflösung seines Arbeitsverhältnisses und verursache derartig beachtliche Kosten, dass die Massnahme im Verhältnis zum finanziellen Verlust als offensichtlich unverhältnismässig erscheine.</w:t>
      </w:r>
    </w:p>
    <w:p>
      <w:r>
        <w:rPr>
          <w:b/>
        </w:rPr>
        <w:t>E. 2</w:t>
      </w:r>
    </w:p>
    <w:p>
      <w:r>
        <w:t>Mit Verwaltungsgerichtsbeschwerde kann beim Bundesgericht die Verletzung von Bundesrecht, einschliesslich der Überschreitung oder des Missbrauchs des Ermessens, gerügt sowie eine unrichtige und unvollständige Feststellung des rechtserheblichen Sachverhalts geltend gemacht werden ( Art. 104 lit. a und b OG ). Nicht überprüfen kann das Bundesgericht grundsätzlich die Angemessenheit des angefochtenen Entscheides ( Art. 104 lit. c OG ). Gemäss Art. 105 Abs. 2 OG ist das Bundesgericht an die Feststellung des Sachverhalts gebunden, wenn eine richterliche Behörde als Vorinstanz den Sachverhalt nicht offensichtlich unrichtig, unvollständig oder unter Verletzung wesentlicher Verfahrensbestimmungen festgestellt hat.</w:t>
      </w:r>
    </w:p>
    <w:p>
      <w:r>
        <w:rPr>
          <w:b/>
        </w:rPr>
        <w:t>E. 3</w:t>
      </w:r>
    </w:p>
    <w:p>
      <w:r>
        <w:t>Gemäss Art. 16 Abs. 2 SVG kann der Führerausweis entzogen werden, wenn der Fahrzeugführer Verkehrsregeln verletzt und dadurch den Verkehr gefährdet oder andere belästigt hat. Der Ausweis muss entzogen werden, wenn der Führer den Verkehr in schwerer Weise gefährdet hat ( Art. 16 Abs. 3 lit. a SVG ). Dies ist der Fall, wenn der Fahrzeugführer durch grobe Verletzung der Verkehrsregeln eine ernstliche Gefahr für die Sicherheit anderer hervorruft oder in Kauf nimmt ( Art. 32 Abs. 2 VZV [SR 741.51]; BGE 120 Ib 286 E. 1 mit Hinweisen). Die Dauer des Entzugs ist nach den Umständen festzusetzen; sie beträgt jedoch mindestens einen Monat ( Art. 17 Abs. 1 lit. a SVG ). Die Dauer des Warnungsentzugs richtet sich vor allem nach der Schwere BGE 120 Ib 312 S. 315 des Verschuldens, dem Leumund als Fahrzeugführer sowie nach der beruflichen Notwendigkeit, ein Motorfahrzeug zu führen ( Art. 33 Abs. 2 VZV ).</w:t>
      </w:r>
    </w:p>
    <w:p>
      <w:r>
        <w:rPr>
          <w:b/>
        </w:rPr>
        <w:t>E. 4</w:t>
      </w:r>
    </w:p>
    <w:p>
      <w:r>
        <w:t>a) Die Vorinstanz nahm an, der Beschwerdeführer sei mit einer Geschwindigkeit von "ca. 120 km/h" gefahren. Sie stützte sich hiefür auf dessen Aussagen anlässlich der Aufnahme des Verkehrsunfalls durch die Kantonspolizei Zürich, bei der er auch angegeben hatte, es sei ihm bewusst gewesen, dass er in Anbetracht der herrschenden Wetterverhältnisse zu schnell unterwegs gewesen sei. Aufgrund dieser Aussagen kam die Vorinstanz zum Schluss, das Schleudern des Fahrzeugs sei auf die den Strassen- und Witterungsverhältnissen nicht angepasste Geschwindigkeit zurückzuführen. Dies wäre nach ihrer Auffassung selbst dann der Fall, wenn man annehmen wollte, der Beschwerdeführer sei mit einer Geschwindigkeit von bloss 90 - 120 km/h gefahren. Es trifft somit nicht zu, dass die Vorinstanz angenommen hat, der Beschwerdeführer sei effektiv mit 120 km/h unterwegs gewesen. Eine offensichtlich unrichtige Feststellung des Sachverhalts ist nicht ersichtlich, so dass das Bundesgericht daran gebunden ist ( Art. 105 Abs. 2 OG ). b) Die Vorinstanz wich nicht von den tatsächlichen Feststellungen in der Bussenverfügung des Statthalteramtes des Bezirkes Winterthur ab. Hingegen würdigte sie das Verhalten des Beschwerdeführers - anders als das Statthalteramt, das eine bloss einfache Verkehrsregelverletzung im Sinne von Art. 90 Ziff. 1 SVG angenommen hatte, - als schwere Gefährdung des Verkehrs. Dies ist nicht zu beanstanden. Die Verwaltungsbehörde ist nur dann in bezug auf die Rechtsanwendung an die rechtliche Qualifikation des Sachverhaltes durch das Strafurteil gebunden, wenn die rechtliche Würdigung sehr stark von der Würdigung von Tatsachen abhängt, die der Strafrichter besser kennt als die Verwaltungsbehörde ( BGE 119 Ib 158 E. 3 c/bb). Dies ist hier nicht der Fall, da die Strafbehörde ebenfalls bloss aufgrund der Akten entschieden und der Beschwerdeführer keine gerichtliche Beurteilung verlangt hatte. c) Die Vorinstanz wertete das Verhalten des Beschwerdeführers als schwere Gefährdung des Verkehrs. Der Beschwerdeführer habe, indem er die Herrschaft über sein Fahrzeug verloren habe, eine erhebliche Gefahr für die Sicherheit anderer Verkehrsteilnehmer geschaffen. Nach den verbindlichen Feststellungen der Vorinstanz ist der Beschwerdeführer auf der Autobahn bei starkem Regen und einer Geschwindigkeit von ca. 120 km/h ins Schleudern geraten und gegen das BGE 120 Ib 312 S. 316 Mittelseil geprallt. Wie die Vorinstanz zu Recht ausführt, bedeutet ein vom Lenker nicht mehr beherrschtes Fahrzeug insbesondere auf Autobahnen, wo ausschliesslich mit relativ hohen Geschwindigkeiten gefahren wird, immer eine ernstliche Gefahr für andere Verkehrsteilnehmer. Für nachfolgende Fahrzeuge besteht besonders die Gefahr von Auffahrunfällen mit erheblichen Folgen für die Beteiligten. Das krasse Nichtanpassen der Geschwindigkeit bei der Gefahr von Aquaplaning, d.h. einem Aufschwimmen der Reifen auf einem Wasserkeil mit Verlust der Steuer- und Bremsmöglichkeit, bedeutet daher im zu beurteilenden Fall eine schwere Gefährdung des Verkehrs. Ob Aquaplaningfälle regelmässig zu den schweren Fällen im Sinne von Art. 16 Abs. 3 SVG zu zählen sind, braucht nicht entschieden zu werden (vgl. hiezu BGE 103 IV 41 E. 2a). Ebenfalls nicht zu beanstanden ist, dass die Vorinstanz das Verschulden des Beschwerdeführers als schwer gewertet hat. Nach Art. 32 Abs. 1 SVG ist die Geschwindigkeit stets den Umständen, namentlich den Strassen-, Verkehrs- und Sichtverhältnissen anzupassen. Wie die Vorinstanz zu Recht erkannt hat, muss die Gefahr von Aquaplaning bei starkem Regen als bekannt vorausgesetzt werden. Es wird denn auch in diesem Zusammenhang empfohlen, bei starkem Regen 80 km/h nicht zu überschreiten ( BGE 103 IV 41 E. 2a). Dies war auch dem Beschwerdeführer klar, der nach den Feststellungen der Vorinstanz gegenüber der Polizei ausgesagt hatte, es sei ihm bewusst gewesen, dass er in Anbetracht der herrschenden Wetterverhältnisse zu schnell gefahren sei (vgl. E. 4a). Das Ausschöpfen der nur unter günstigen Verhältnissen auf Autobahnen zulässigen Höchstgeschwindigkeit von 120 km/h ( Art. 4a Abs. 1 lit. d VRV ), das zu einem Schleuderunfall führt, ist unter diesen Umständen grobfahrlässig und wiegt verschuldensmässig schwer, da sich der Beschwerdeführer der Gefährlichkeit seiner verkehrswidrigen Fahrweise bewusst sein musste und es auch war. d) Die Vorinstanz erachtete den Entzug des Führerausweises für die Dauer von drei Monaten als angemessen. Sie nahm an, das bisher klaglose Verhalten des Beschwerdeführers im Strassenverkehr begründe keinen Anspruch auf Herabsetzung der Entzugsdauer. Sie verneinte zudem die berufliche Notwendigkeit für den Beschwerdeführer, ein Motorfahrzeug zu führen, da das Autofahren nicht zu den primären Aufgaben eines Automechanikers gehöre. Der Behörde steht bei der Festsetzung der Dauer des Führerausweisentzuges ein Ermessensspielraum zu. Dies bedeutet indessen nicht, dass sie nach Belieben entscheiden könnte. Vielmehr hat sie nach pflichtgemässem Ermessen BGE 120 Ib 312 S. 317 zu urteilen und alle in der Sache erheblichen Interessen zu berücksichtigen und sorgfältig gegeneinander abzuwägen. Diesen Anforderungen ist die Vorinstanz nachgekommen. Sie hat sich nicht von sachfremden Motiven leiten lassen und ihr Ermessen auch nicht überschritten oder missbraucht. Dies gilt ebenfalls für die Frage der Massnahmeempfindlichkeit. Die Vorinstanz hat zu Recht angenommen, das Führen eines Motorfahrzeugs gehöre nicht zu den primären Aufgaben eines Automechanikers und der Beschwerdeführer sei daher nicht im selben Mass von der Massnahme betroffen wie etwa ein Chauffeur. Sie verneinte daher zutreffend eine erhöhte Massnahmeempfindlichkeit. Dass sodann der automobilistische Leumund bei der Festsetzung der Entzugsdauer berücksichtigt werden muss, wie der Beschwerdeführer einwendet, trifft zu. Dies hat die Vorinstanz indes getan. Sie hat lediglich den ungetrübten Leumund als Fahrzeuglenker nicht zusätzlich als Herabsetzungsgrund gewürdigt, was nicht zu beanstanden ist. Die Massnahme erweist sich daher nicht als unverhältnismässig und die Vorinstanz hat somit ihr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